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
<Relationships xmlns="http://schemas.openxmlformats.org/package/2006/relationships"><Relationship Id="rId1" Type="http://schemas.openxmlformats.org/package/2006/relationships/metadata/core-properties" Target="docProps/core.xml"></Relationship><Relationship Id="rId2" Type="http://schemas.openxmlformats.org/officeDocument/2006/relationships/extended-properties" Target="docProps/app.xml"></Relationship><Relationship Id="rId3" Type="http://schemas.openxmlformats.org/officeDocument/2006/relationships/officeDocument" Target="word/document.xml"></Relationship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p14="http://schemas.microsoft.com/office/word/2010/wordprocessingDrawing" xmlns:w10="urn:schemas-microsoft-com:office:word" xmlns:w="http://schemas.openxmlformats.org/wordprocessingml/2006/main" xmlns:wpg="http://schemas.microsoft.com/office/word/2010/wordprocessingGroup" xmlns:wne="http://schemas.microsoft.com/office/word/2006/wordml" xmlns:wps="http://schemas.microsoft.com/office/word/2010/wordprocessingShape" xmlns:wpc="http://schemas.microsoft.com/office/word/2010/wordprocessingCanvas" xmlns:mc="http://schemas.openxmlformats.org/markup-compatibility/2006" xmlns:w14="http://schemas.microsoft.com/office/word/2010/wordml" xmlns:wpi="http://schemas.microsoft.com/office/word/2010/wordprocessingInk">
  <w:body>
    <w:p>
      <w:pPr>
        <w:numPr>
          <w:ilvl w:val="0"/>
          <w:numId w:val="0"/>
        </w:numPr>
        <w:jc w:val="both"/>
        <w:spacing w:lineRule="auto" w:line="240" w:before="0" w:after="0"/>
        <w:ind w:right="0" w:firstLine="1960"/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>全国有害生物预防控制服务资质A级评估标准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4060"/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</w:pPr>
      <w:r>
        <w:rPr>
          <w:b w:val="1"/>
          <w:color w:val="000000"/>
          <w:position w:val="0"/>
          <w:sz w:val="28"/>
          <w:szCs w:val="28"/>
          <w:rFonts w:ascii="微软雅黑" w:eastAsia="微软雅黑" w:hAnsi="微软雅黑" w:hint="default"/>
        </w:rPr>
        <w:t xml:space="preserve">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一、资质与场所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1.具有有效的营业执照或登记证书。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2.有固定的和功能健全、布局合理的工作场所。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3.有独立的药械库房，通风条件良好，防火、防盗等安全设备齐全，药械摆放整齐、有序，符合安全存放要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二、药品与设施设备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1.有适合不同场所和环境使用的杀虫灭鼠药剂与器械。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2.药品应使用具有农药登记证、生产许可证、药效与毒性检验报告等证件齐备的合格产品。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3.不购买及使用国家禁用的药品。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4.药品进货渠道正规，防止假冒劣质药物的购进。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5.配备的办公设备能够满足工作需要。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6.配备的设备设施能满足不同环境和特殊场所的施药要求。其中，不少于10台常量压缩喷雾器、2台电动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超低容量喷雾器、3台机动超低容量喷雾器、2台热烟雾机、1台手推式大功率机动喷雾机、1台车载超低容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量喷雾机。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7.定期对设施设备进行适当维护、保养，确保设备始终处于完好有效状态，达到规定的技术指标。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8.配有粘鼠板、粘蟑纸、粘蝇条、诱蝇笼、诱蚊蝇灯（器）等害虫与鼠密度监测用器具。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9.操作人员应配有适于不同季节穿着的工作服、工作帽、工作鞋及防护口罩（面具）、护眼镜、手套等个人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防护用品，以及手电筒、工具箱等检查与操作用器具。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10.服务用机动车的数量应与防制服务人员数量相匹配，至少每10人配备1辆服务用车。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三、防制人员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1.管理人员和技术人员不少于6人，其中至少3人具有相关专业（公共卫生、昆虫学、植保学或农药学）大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专以上学历，从事有害生物防制工作5年以上。防制操作人员不少于20人且具有初中以上学历，其中至少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5人从事有害生物防制工作3年以上。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 .防制技术人员至少3人经专业技术机构培训取得培训合格证，防制操作人员至少2人经培训取得高级职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业证书，至少3人经培训取得中级职业证书，至少5人经培训取得初级职业证书。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3．防制技术人员和操作人员应通过体检取得健康合格证。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4．全体人员每年接受专业技术机构组织的继续教育学习不少于16学时，公司内部每月员工继续教育学习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不少于4学时。继续教育学习的情况应有完整记录。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四、组织管理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1．组织机构健全，设有人力资源、财务、质量控制、药品采购与库房管理、客户信息管理等相对独立的部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门，能保证管理和服务工作有效进行。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2．各项管理规章制度健全，有关要求明确具体。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各类人员工作职责和岗位责任说明书；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人力资源、财务管理、人员聘用、劳动保护、安全与奖惩等规章制度；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药械管理和使用制度，对药械名称、出入库日期、药械来源、贮存量、使用量、使用场所等内容记录详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尽； d) 实验室、饲养室和配药室管理制度，有关实验仪器使用操作说明书；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药品采购与质量保证制度；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设施设备维护与保养制度；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员工继续教育与培训制度；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服务项目、收费标准说明书；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中英文对照有害生物防制服务合同书。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 .按国家有关标准或规定，制定病媒生物防制服务的各项操作规范和技术要求。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病媒生物防制服务流程；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各类害虫防制服务操作流程与技术规范；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所用药品和器械使用指南与操作技术规范；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各类害虫密度监测技术规范；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害虫抗药性监测技术规范；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服务场所药效及防制效果评估技术规范；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服务场所有害生物防制方案制定指南；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防制新技术、新方法和新药械引进与使用管理规定；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预防杀虫灭鼠药剂污染环境管理措施。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4.建立起完善的服务质量保证体系，包括服务质量环、质量文件和记录、内部质量审核等内容。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a) 制定服务质量方针和服务质量目标；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b) 规划和确定企业的服务形象和质量信誉；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c) 制定服务质量标准；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d) 编制质量管理体系文件，如：质量管理手册、程序性文件、操作规程、作业指导书、记录表格、报告等； 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e) 建立服务质量责任制，有完善质控措施和质量管理措施；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f) 设置专职质量监督员，有质控监督记录和抱怨投诉记录；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g) 建立质量管理体系持续改进体系；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h) 建立服务质量客户评定体系；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i) 建立客户服务信息管理系统；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j) 其他证明企业质量管理水平的证书或文件。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五、防制能力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1．从事有关部门许可或评定的并，病媒生物防制服务资质B级至少2年以上。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2．具备的人员、技术、药品和设备等条件至少能够承接蚊、蝇、鼠、蟑螂、蚂蚁、跳蚤等8类有害生物的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防制服务。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3．具备从事三星级以上（含三星级）宾馆（饭店）、高档写字楼、大中型餐饮店、食品加工厂、医院、学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校、商场、娱乐场所，下水道，外环境等不同类型场所与环境的有害生物防制服务的能力，并通过现场防制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处理技术考核。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4 .连续两年有害生物防制服务营业额不少于100万元人民币。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能够对服务场所的害虫密度情况及防制效果进行系统监测与评估。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六、服务质量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1.防制操作人员服务时应符合上岗要求，着装整齐，仪表端庄、大方。服务过程中应主动向客户介绍有关防制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知识及注意事项，对客户提出的有关技术问题予以耐心解答，不推诿和应付。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br/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2.实施防制前，要对服务场所的害虫密度进行监测，根据监测结果、施药场所的环境状况以及客户的需求，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制订防制方案和作业计划，并提前告知客户，征得客户同意和配合。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3防制过程中，防制操作人员能严格按制定的操作规程进行防制, 至少有1名经培训合格的防制技术人员在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现场督导，并负责填写服务操作记录，内容包括：施药环境、施药范围和区域、防制虫种、害虫密度状况、防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制方法、所用药物及器械、使用浓度与剂量、施药面积、防制效果和用户意见等。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4.实施防制后，要定期对服务场所的害虫密度情况及防制效果进行监测与评估，以便适时调整防制措施，持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续保持和巩固防制效果。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5. 建立各类不同杀虫灭鼠剂现场药效评估档案，为减缓抗性发生，制定轮换用药等科学合理用药措施提供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依据。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6.注重引进防制新技术、新方法和新药械，在防制服务中能优先选择对环境和人体影响最小、无痕迹、无刺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激性气味，技术含量高的新型环保药品，高防制科学水平和防制效果。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7.服务质量保证体系运行良好，使各项规章制度、操作规程与服务质量标准等措施能予以落实。能通过自查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、抽查、客户评价等方式发现防制服务过程中存在的问题，对收集的有关意见、建议与投诉进行分析和研究，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有针对性地制定具体的改进方案和措施，从而使服务质量能得到不断改进与提高。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8.设有固定的24小时服务热线电话。对客户投诉能认真听取、记录，在24小时内对情况进行调查核实，予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以答复，并提出处理意见。在48小时内，对核实调查的问题予以圆满解决。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9.防制服务三个月以上，应依照《中华人民共和国合同法》等相关法规与客户签订服务合同，明确双方责任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和义务。合同中应注明防制虫种、防制区域、防制方法（包括用药）、防制标准、防制预期效果以及服务费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用的计算依据等。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10.热心参与社会公益性有害生物防制活动，防制服务以质量和信誉赢得客户，不以欺诈、威吓、假借政府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部门名义、压低价格等不正当竞争手段取得客户。有关宣传应客观、真实。对外宣传和广告内容应经有关部</w:t>
      </w: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门审核。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 xml:space="preserve">11.所有被服务单位和场所的鼠及害虫密度等指标达到国家规定的标准。 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0"/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</w:pPr>
      <w:r>
        <w:rPr>
          <w:color w:val="000000"/>
          <w:position w:val="0"/>
          <w:sz w:val="21"/>
          <w:szCs w:val="21"/>
          <w:rFonts w:ascii="微软雅黑" w:eastAsia="微软雅黑" w:hAnsi="微软雅黑" w:hint="default"/>
        </w:rPr>
        <w:t>12.客户对防制效果和服务质量的满意率能达到95%以上，并有相应记录。</w:t>
      </w:r>
    </w:p>
    <w:p>
      <w:pPr>
        <w:numPr>
          <w:ilvl w:val="0"/>
          <w:numId w:val="0"/>
        </w:numPr>
        <w:jc w:val="both"/>
        <w:spacing w:lineRule="auto" w:line="240" w:before="0" w:after="0"/>
        <w:ind w:right="0" w:firstLine="1960"/>
        <w:rPr>
          <w:color w:val="auto"/>
          <w:position w:val="0"/>
          <w:sz w:val="21"/>
          <w:szCs w:val="21"/>
          <w:rFonts w:ascii="Calibri" w:eastAsia="宋体" w:hAnsi="宋体" w:hint="default"/>
        </w:rPr>
      </w:pPr>
    </w:p>
    <w:sectPr>
      <w:pgSz w:w="11906" w:h="16838"/>
      <w:pgMar w:top="851" w:left="993" w:bottom="851" w:right="991" w:header="851" w:footer="992" w:gutter="0"/>
      <w:pgNumType w:fmt="decimal"/>
      <w:docGrid w:type="lines" w:linePitch="312" w:charSpace="614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Wingdings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Times New Roman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Calibri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맑은 고딕">
    <w:panose1 w:val="020F0502020204030204"/>
    <w:charset w:val="0"/>
    <w:family w:val="mordern"/>
    <w:pitch w:val="variable"/>
    <w:sig w:usb0="A00002EF" w:usb1="4000207B" w:usb2="00000000" w:usb3="00000000" w:csb0="FFFFFFFF" w:csb1="00000000"/>
  </w:font>
  <w:font w:name="微软雅黑">
    <w:panose1 w:val="020F0502020204030204"/>
    <w:charset w:val="0"/>
    <w:family w:val="mordern"/>
    <w:pitch w:val="variable"/>
    <w:sig w:usb0="A00002EF" w:usb1="4000207B" w:usb2="00000000" w:usb3="00000000" w:csb0="FFFFFF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avePreviewPicture/>
  <w:proofState w:spelling="clean" w:grammar="clean"/>
  <w:defaultTabStop w:val="800"/>
  <w:displayHorizontalDrawingGridEvery w:val="0"/>
  <w:displayVerticalDrawingGridEvery w:val="2"/>
  <w:noPunctuationKerning/>
  <w:characterSpacingControl w:val="doNotCompress"/>
  <w:bordersDoNotSurroundHeader/>
  <w:bordersDoNotSurroundFooter/>
  <w:compat w:val="0">
    <w:balanceSingleByteDoubleByteWidth/>
    <w:doNotExpandShiftReturn/>
    <w:useFELayout/>
    <w:compatSetting w:name="compatibilityMode" w:uri="http://schemas.microsoft.com/office/word" w:val="15"/>
  </w:compat>
  <m:mathPr>
    <m:mathFont m:value="Cambria Math"/>
    <m:brkBin m:value="before"/>
    <m:brkBinSub m:value="--"/>
    <m:smallFrac m:value="off"/>
    <m:dispDef/>
    <m:lMargin m:value="0"/>
    <m:rMargin m:value="0"/>
    <m:defJc m:value="centerGroup"/>
    <m:wrapIndent m:value="1440"/>
    <m:intLim m:value="subSup"/>
    <m:naryLim m:value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:stylePaneFormatFilter w:val="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docDefaults>
    <w:pPrDefault>
      <w:pPr>
        <w:jc w:val="both"/>
      </w:pPr>
    </w:pPrDefault>
    <w:rPrDefault>
      <w:rPr>
        <w:shd w:val="clear"/>
        <w:sz w:val="21"/>
        <w:szCs w:val="21"/>
        <w:w w:val="100"/>
      </w:rPr>
    </w:rPrDefault>
  </w:docDefaults>
  <w:style w:default="1" w:styleId="PO1" w:type="paragraph">
    <w:name w:val="Normal"/>
    <w:link w:val="PO-1"/>
    <w:qFormat/>
    <w:uiPriority w:val="1"/>
    <w:pPr>
      <w:jc w:val="both"/>
    </w:pPr>
    <w:rPr>
      <w:shd w:val="clear"/>
      <w:sz w:val="21"/>
      <w:szCs w:val="21"/>
      <w:w w:val="100"/>
    </w:rPr>
  </w:style>
  <w:style w:default="1" w:styleId="PO2" w:type="character">
    <w:name w:val="Default Paragraph Font"/>
    <w:qFormat/>
    <w:uiPriority w:val="2"/>
    <w:semiHidden/>
    <w:unhideWhenUsed/>
    <w:rPr>
      <w:shd w:val="clear"/>
      <w:sz w:val="21"/>
      <w:szCs w:val="21"/>
      <w:w w:val="100"/>
    </w:rPr>
  </w:style>
  <w:style w:default="1" w:styleId="PO3" w:type="table">
    <w:name w:val="Normal Table"/>
    <w:uiPriority w:val="3"/>
    <w:semiHidden/>
    <w:unhideWhenUsed/>
    <w:tblPr>
      <w:tblCellMar>
        <w:bottom w:type="dxa" w:w="0"/>
        <w:left w:type="dxa" w:w="108"/>
        <w:right w:type="dxa" w:w="108"/>
        <w:top w:type="dxa" w:w="0"/>
      </w:tblCellMar>
      <w:tblInd w:type="dxa" w:w="0"/>
    </w:tblPr>
  </w:style>
  <w:style w:default="1" w:styleId="PO4" w:type="numbering">
    <w:name w:val="No List"/>
    <w:uiPriority w:val="4"/>
    <w:semiHidden/>
    <w:unhideWhenUsed/>
  </w:style>
  <w:style w:styleId="PO5" w:type="paragraph">
    <w:name w:val="No Spacing"/>
    <w:link w:val="PO-1"/>
    <w:qFormat/>
    <w:uiPriority w:val="5"/>
    <w:pPr>
      <w:jc w:val="both"/>
    </w:pPr>
    <w:rPr>
      <w:shd w:val="clear"/>
      <w:sz w:val="21"/>
      <w:szCs w:val="21"/>
      <w:w w:val="100"/>
    </w:rPr>
  </w:style>
  <w:style w:styleId="PO6" w:type="paragraph">
    <w:name w:val="Title"/>
    <w:link w:val="PO-1"/>
    <w:qFormat/>
    <w:uiPriority w:val="6"/>
    <w:pPr>
      <w:jc w:val="center"/>
    </w:pPr>
    <w:rPr>
      <w:b/>
      <w:shd w:val="clear"/>
      <w:sz w:val="32"/>
      <w:szCs w:val="32"/>
      <w:w w:val="100"/>
    </w:rPr>
  </w:style>
  <w:style w:styleId="PO7" w:type="paragraph">
    <w:name w:val="heading 1"/>
    <w:link w:val="PO-1"/>
    <w:qFormat/>
    <w:uiPriority w:val="7"/>
    <w:pPr>
      <w:jc w:val="both"/>
    </w:pPr>
    <w:rPr>
      <w:shd w:val="clear"/>
      <w:sz w:val="28"/>
      <w:szCs w:val="28"/>
      <w:w w:val="100"/>
    </w:rPr>
  </w:style>
  <w:style w:styleId="PO8" w:type="paragraph">
    <w:name w:val="heading 2"/>
    <w:link w:val="PO-1"/>
    <w:qFormat/>
    <w:uiPriority w:val="8"/>
    <w:pPr>
      <w:jc w:val="both"/>
    </w:pPr>
    <w:rPr>
      <w:shd w:val="clear"/>
      <w:sz w:val="21"/>
      <w:szCs w:val="21"/>
      <w:w w:val="100"/>
    </w:rPr>
  </w:style>
  <w:style w:styleId="PO9" w:type="paragraph">
    <w:name w:val="heading 3"/>
    <w:link w:val="PO-1"/>
    <w:qFormat/>
    <w:uiPriority w:val="9"/>
    <w:pPr>
      <w:ind w:left="1000" w:hanging="400"/>
      <w:jc w:val="both"/>
    </w:pPr>
    <w:rPr>
      <w:shd w:val="clear"/>
      <w:sz w:val="21"/>
      <w:szCs w:val="21"/>
      <w:w w:val="100"/>
    </w:rPr>
  </w:style>
  <w:style w:styleId="PO10" w:type="paragraph">
    <w:name w:val="heading 4"/>
    <w:link w:val="PO-1"/>
    <w:qFormat/>
    <w:uiPriority w:val="10"/>
    <w:pPr>
      <w:ind w:left="1200" w:hanging="400"/>
      <w:jc w:val="both"/>
    </w:pPr>
    <w:rPr>
      <w:b/>
      <w:shd w:val="clear"/>
      <w:sz w:val="21"/>
      <w:szCs w:val="21"/>
      <w:w w:val="100"/>
    </w:rPr>
  </w:style>
  <w:style w:styleId="PO11" w:type="paragraph">
    <w:name w:val="heading 5"/>
    <w:link w:val="PO-1"/>
    <w:qFormat/>
    <w:uiPriority w:val="11"/>
    <w:pPr>
      <w:ind w:left="1400" w:hanging="400"/>
      <w:jc w:val="both"/>
    </w:pPr>
    <w:rPr>
      <w:shd w:val="clear"/>
      <w:sz w:val="21"/>
      <w:szCs w:val="21"/>
      <w:w w:val="100"/>
    </w:rPr>
  </w:style>
  <w:style w:styleId="PO12" w:type="paragraph">
    <w:name w:val="heading 6"/>
    <w:link w:val="PO-1"/>
    <w:qFormat/>
    <w:uiPriority w:val="12"/>
    <w:pPr>
      <w:ind w:left="1600" w:hanging="400"/>
      <w:jc w:val="both"/>
    </w:pPr>
    <w:rPr>
      <w:b/>
      <w:shd w:val="clear"/>
      <w:sz w:val="21"/>
      <w:szCs w:val="21"/>
      <w:w w:val="100"/>
    </w:rPr>
  </w:style>
  <w:style w:styleId="PO13" w:type="paragraph">
    <w:name w:val="heading 7"/>
    <w:link w:val="PO-1"/>
    <w:qFormat/>
    <w:uiPriority w:val="13"/>
    <w:pPr>
      <w:ind w:left="1800" w:hanging="400"/>
      <w:jc w:val="both"/>
    </w:pPr>
    <w:rPr>
      <w:shd w:val="clear"/>
      <w:sz w:val="21"/>
      <w:szCs w:val="21"/>
      <w:w w:val="100"/>
    </w:rPr>
  </w:style>
  <w:style w:styleId="PO14" w:type="paragraph">
    <w:name w:val="heading 8"/>
    <w:link w:val="PO-1"/>
    <w:qFormat/>
    <w:uiPriority w:val="14"/>
    <w:pPr>
      <w:ind w:left="2000" w:hanging="400"/>
      <w:jc w:val="both"/>
    </w:pPr>
    <w:rPr>
      <w:shd w:val="clear"/>
      <w:sz w:val="21"/>
      <w:szCs w:val="21"/>
      <w:w w:val="100"/>
    </w:rPr>
  </w:style>
  <w:style w:styleId="PO15" w:type="paragraph">
    <w:name w:val="heading 9"/>
    <w:link w:val="PO-1"/>
    <w:qFormat/>
    <w:uiPriority w:val="15"/>
    <w:pPr>
      <w:ind w:left="2200" w:hanging="400"/>
      <w:jc w:val="both"/>
    </w:pPr>
    <w:rPr>
      <w:shd w:val="clear"/>
      <w:sz w:val="21"/>
      <w:szCs w:val="21"/>
      <w:w w:val="100"/>
    </w:rPr>
  </w:style>
  <w:style w:styleId="PO16" w:type="paragraph">
    <w:name w:val="Subtitle"/>
    <w:link w:val="PO-1"/>
    <w:qFormat/>
    <w:uiPriority w:val="16"/>
    <w:pPr>
      <w:jc w:val="center"/>
    </w:pPr>
    <w:rPr>
      <w:shd w:val="clear"/>
      <w:sz w:val="24"/>
      <w:szCs w:val="24"/>
      <w:w w:val="100"/>
    </w:rPr>
  </w:style>
  <w:style w:styleId="PO17" w:type="character">
    <w:name w:val="Subtle Emphasis"/>
    <w:qFormat/>
    <w:uiPriority w:val="17"/>
    <w:rPr>
      <w:color w:val="404040"/>
      <w:i/>
      <w:shd w:val="clear"/>
      <w:sz w:val="21"/>
      <w:szCs w:val="21"/>
      <w:w w:val="100"/>
    </w:rPr>
  </w:style>
  <w:style w:styleId="PO18" w:type="character">
    <w:name w:val="Emphasis"/>
    <w:qFormat/>
    <w:uiPriority w:val="18"/>
    <w:rPr>
      <w:i/>
      <w:shd w:val="clear"/>
      <w:sz w:val="21"/>
      <w:szCs w:val="21"/>
      <w:w w:val="100"/>
    </w:rPr>
  </w:style>
  <w:style w:styleId="PO19" w:type="character">
    <w:name w:val="Intense Emphasis"/>
    <w:qFormat/>
    <w:uiPriority w:val="19"/>
    <w:rPr>
      <w:color w:val="5B9BD5"/>
      <w:i/>
      <w:shd w:val="clear"/>
      <w:sz w:val="21"/>
      <w:szCs w:val="21"/>
      <w:w w:val="100"/>
    </w:rPr>
  </w:style>
  <w:style w:styleId="PO20" w:type="character">
    <w:name w:val="Strong"/>
    <w:qFormat/>
    <w:uiPriority w:val="20"/>
    <w:rPr>
      <w:b/>
      <w:shd w:val="clear"/>
      <w:sz w:val="21"/>
      <w:szCs w:val="21"/>
      <w:w w:val="100"/>
    </w:rPr>
  </w:style>
  <w:style w:styleId="PO21" w:type="paragraph">
    <w:name w:val="Quote"/>
    <w:link w:val="PO-1"/>
    <w:qFormat/>
    <w:uiPriority w:val="21"/>
    <w:pPr>
      <w:ind w:left="864" w:right="864" w:firstLine="0"/>
      <w:jc w:val="center"/>
    </w:pPr>
    <w:rPr>
      <w:color w:val="404040"/>
      <w:i/>
      <w:shd w:val="clear"/>
      <w:sz w:val="21"/>
      <w:szCs w:val="21"/>
      <w:w w:val="100"/>
    </w:rPr>
  </w:style>
  <w:style w:styleId="PO22" w:type="paragraph">
    <w:name w:val="Intense Quote"/>
    <w:link w:val="PO-1"/>
    <w:qFormat/>
    <w:uiPriority w:val="22"/>
    <w:pPr>
      <w:ind w:left="950" w:right="950" w:firstLine="0"/>
      <w:jc w:val="center"/>
    </w:pPr>
    <w:rPr>
      <w:color w:val="5B9BD5"/>
      <w:i/>
      <w:shd w:val="clear"/>
      <w:sz w:val="21"/>
      <w:szCs w:val="21"/>
      <w:w w:val="100"/>
    </w:rPr>
  </w:style>
  <w:style w:styleId="PO23" w:type="character">
    <w:name w:val="Subtle Reference"/>
    <w:qFormat/>
    <w:uiPriority w:val="23"/>
    <w:rPr>
      <w:color w:val="5A5A5A"/>
      <w:shd w:val="clear"/>
      <w:smallCaps/>
      <w:sz w:val="21"/>
      <w:szCs w:val="21"/>
      <w:w w:val="100"/>
    </w:rPr>
  </w:style>
  <w:style w:styleId="PO24" w:type="character">
    <w:name w:val="Intense Reference"/>
    <w:qFormat/>
    <w:uiPriority w:val="24"/>
    <w:rPr>
      <w:color w:val="5B9BD5"/>
      <w:b/>
      <w:shd w:val="clear"/>
      <w:smallCaps/>
      <w:sz w:val="21"/>
      <w:szCs w:val="21"/>
      <w:w w:val="100"/>
    </w:rPr>
  </w:style>
  <w:style w:styleId="PO25" w:type="character">
    <w:name w:val="Book Title"/>
    <w:qFormat/>
    <w:uiPriority w:val="25"/>
    <w:rPr>
      <w:i/>
      <w:b/>
      <w:shd w:val="clear"/>
      <w:sz w:val="21"/>
      <w:szCs w:val="21"/>
      <w:w w:val="100"/>
    </w:rPr>
  </w:style>
  <w:style w:styleId="PO26" w:type="paragraph">
    <w:name w:val="List Paragraph"/>
    <w:link w:val="PO-1"/>
    <w:qFormat/>
    <w:uiPriority w:val="26"/>
    <w:pPr>
      <w:ind w:left="850" w:firstLine="0"/>
      <w:jc w:val="both"/>
    </w:pPr>
    <w:rPr>
      <w:shd w:val="clear"/>
      <w:sz w:val="21"/>
      <w:szCs w:val="21"/>
      <w:w w:val="100"/>
    </w:rPr>
  </w:style>
  <w:style w:styleId="PO27" w:type="paragraph">
    <w:name w:val="TOC Heading"/>
    <w:link w:val="PO-1"/>
    <w:qFormat/>
    <w:uiPriority w:val="27"/>
    <w:unhideWhenUsed/>
    <w:pPr/>
    <w:rPr>
      <w:color w:val="2E74B5"/>
      <w:shd w:val="clear"/>
      <w:sz w:val="32"/>
      <w:szCs w:val="32"/>
      <w:w w:val="100"/>
    </w:rPr>
  </w:style>
  <w:style w:styleId="PO28" w:type="paragraph">
    <w:name w:val="toc 1"/>
    <w:link w:val="PO-1"/>
    <w:qFormat/>
    <w:uiPriority w:val="28"/>
    <w:unhideWhenUsed/>
    <w:pPr>
      <w:jc w:val="both"/>
    </w:pPr>
    <w:rPr>
      <w:shd w:val="clear"/>
      <w:sz w:val="21"/>
      <w:szCs w:val="21"/>
      <w:w w:val="100"/>
    </w:rPr>
  </w:style>
  <w:style w:styleId="PO29" w:type="paragraph">
    <w:name w:val="toc 2"/>
    <w:link w:val="PO-1"/>
    <w:qFormat/>
    <w:uiPriority w:val="29"/>
    <w:unhideWhenUsed/>
    <w:pPr>
      <w:ind w:left="425" w:firstLine="0"/>
      <w:jc w:val="both"/>
    </w:pPr>
    <w:rPr>
      <w:shd w:val="clear"/>
      <w:sz w:val="21"/>
      <w:szCs w:val="21"/>
      <w:w w:val="100"/>
    </w:rPr>
  </w:style>
  <w:style w:styleId="PO30" w:type="paragraph">
    <w:name w:val="toc 3"/>
    <w:link w:val="PO-1"/>
    <w:qFormat/>
    <w:uiPriority w:val="30"/>
    <w:unhideWhenUsed/>
    <w:pPr>
      <w:ind w:left="850" w:firstLine="0"/>
      <w:jc w:val="both"/>
    </w:pPr>
    <w:rPr>
      <w:shd w:val="clear"/>
      <w:sz w:val="21"/>
      <w:szCs w:val="21"/>
      <w:w w:val="100"/>
    </w:rPr>
  </w:style>
  <w:style w:styleId="PO31" w:type="paragraph">
    <w:name w:val="toc 4"/>
    <w:link w:val="PO-1"/>
    <w:qFormat/>
    <w:uiPriority w:val="31"/>
    <w:unhideWhenUsed/>
    <w:pPr>
      <w:ind w:left="1275" w:firstLine="0"/>
      <w:jc w:val="both"/>
    </w:pPr>
    <w:rPr>
      <w:shd w:val="clear"/>
      <w:sz w:val="21"/>
      <w:szCs w:val="21"/>
      <w:w w:val="100"/>
    </w:rPr>
  </w:style>
  <w:style w:styleId="PO32" w:type="paragraph">
    <w:name w:val="toc 5"/>
    <w:link w:val="PO-1"/>
    <w:qFormat/>
    <w:uiPriority w:val="32"/>
    <w:unhideWhenUsed/>
    <w:pPr>
      <w:ind w:left="1700" w:firstLine="0"/>
      <w:jc w:val="both"/>
    </w:pPr>
    <w:rPr>
      <w:shd w:val="clear"/>
      <w:sz w:val="21"/>
      <w:szCs w:val="21"/>
      <w:w w:val="100"/>
    </w:rPr>
  </w:style>
  <w:style w:styleId="PO33" w:type="paragraph">
    <w:name w:val="toc 6"/>
    <w:link w:val="PO-1"/>
    <w:qFormat/>
    <w:uiPriority w:val="33"/>
    <w:unhideWhenUsed/>
    <w:pPr>
      <w:ind w:left="2125" w:firstLine="0"/>
      <w:jc w:val="both"/>
    </w:pPr>
    <w:rPr>
      <w:shd w:val="clear"/>
      <w:sz w:val="21"/>
      <w:szCs w:val="21"/>
      <w:w w:val="100"/>
    </w:rPr>
  </w:style>
  <w:style w:styleId="PO34" w:type="paragraph">
    <w:name w:val="toc 7"/>
    <w:link w:val="PO-1"/>
    <w:qFormat/>
    <w:uiPriority w:val="34"/>
    <w:unhideWhenUsed/>
    <w:pPr>
      <w:ind w:left="2550" w:firstLine="0"/>
      <w:jc w:val="both"/>
    </w:pPr>
    <w:rPr>
      <w:shd w:val="clear"/>
      <w:sz w:val="21"/>
      <w:szCs w:val="21"/>
      <w:w w:val="100"/>
    </w:rPr>
  </w:style>
  <w:style w:styleId="PO35" w:type="paragraph">
    <w:name w:val="toc 8"/>
    <w:link w:val="PO-1"/>
    <w:qFormat/>
    <w:uiPriority w:val="35"/>
    <w:unhideWhenUsed/>
    <w:pPr>
      <w:ind w:left="2975" w:firstLine="0"/>
      <w:jc w:val="both"/>
    </w:pPr>
    <w:rPr>
      <w:shd w:val="clear"/>
      <w:sz w:val="21"/>
      <w:szCs w:val="21"/>
      <w:w w:val="100"/>
    </w:rPr>
  </w:style>
  <w:style w:styleId="PO36" w:type="paragraph">
    <w:name w:val="toc 9"/>
    <w:link w:val="PO-1"/>
    <w:qFormat/>
    <w:uiPriority w:val="36"/>
    <w:unhideWhenUsed/>
    <w:pPr>
      <w:ind w:left="3400" w:firstLine="0"/>
      <w:jc w:val="both"/>
    </w:pPr>
    <w:rPr>
      <w:shd w:val="clear"/>
      <w:sz w:val="21"/>
      <w:szCs w:val="21"/>
      <w:w w:val="1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
<Relationships xmlns="http://schemas.openxmlformats.org/package/2006/relationships"><Relationship Id="rId1" Type="http://schemas.openxmlformats.org/officeDocument/2006/relationships/webSettings" Target="webSettings.xml"></Relationship><Relationship Id="rId2" Type="http://schemas.openxmlformats.org/officeDocument/2006/relationships/fontTable" Target="fontTable.xml"></Relationship><Relationship Id="rId3" Type="http://schemas.openxmlformats.org/officeDocument/2006/relationships/settings" Target="settings.xml"></Relationship><Relationship Id="rId4" Type="http://schemas.openxmlformats.org/officeDocument/2006/relationships/styles" Target="styles.xml"></Relationship><Relationship Id="rId5" Type="http://schemas.openxmlformats.org/officeDocument/2006/relationships/theme" Target="theme/theme1.xml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Application>JisuOffice Write</Application>
  <AppVersion>12.000</AppVersion>
  <Characters>0</Characters>
  <CharactersWithSpaces>0</CharactersWithSpaces>
  <DocSecurity>0</DocSecurity>
  <HyperlinksChanged>false</HyperlinksChanged>
  <Lines>0</Lines>
  <LinksUpToDate>false</LinksUpToDate>
  <Pages>5</Pages>
  <Paragraphs>0</Paragraphs>
  <Words>107</Words>
  <TotalTime>0</TotalTime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ModifiedBy/>
</cp:coreProperties>
</file>