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left"/>
        <w:spacing w:lineRule="auto" w:line="240" w:before="61" w:after="0"/>
        <w:ind w:right="0" w:firstLine="0"/>
        <w:rPr>
          <w:color w:val="auto"/>
          <w:position w:val="0"/>
          <w:sz w:val="40"/>
          <w:szCs w:val="40"/>
          <w:rFonts w:ascii="仿宋" w:eastAsia="仿宋" w:hAnsi="仿宋" w:hint="default"/>
        </w:rPr>
        <w:autoSpaceDE w:val="0"/>
        <w:autoSpaceDN w:val="0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        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6"/>
          <w:szCs w:val="36"/>
          <w:rFonts w:ascii="仿宋" w:eastAsia="仿宋" w:hAnsi="仿宋" w:hint="default"/>
        </w:rPr>
        <w:autoSpaceDE w:val="0"/>
        <w:autoSpaceDN w:val="0"/>
      </w:pPr>
      <w:r>
        <w:rPr>
          <w:b w:val="0"/>
          <w:color w:val="auto"/>
          <w:position w:val="0"/>
          <w:sz w:val="36"/>
          <w:szCs w:val="36"/>
          <w:rFonts w:ascii="锐字云字库小标宋体1.0" w:eastAsia="锐字云字库小标宋体1.0" w:hAnsi="锐字云字库小标宋体1.0" w:hint="default"/>
        </w:rPr>
        <w:t>关于印发《全国病媒生物预防控制服务机构资质评定</w:t>
      </w:r>
      <w:r>
        <w:rPr>
          <w:b w:val="0"/>
          <w:color w:val="auto"/>
          <w:position w:val="0"/>
          <w:sz w:val="36"/>
          <w:szCs w:val="36"/>
          <w:rFonts w:ascii="锐字云字库小标宋体1.0" w:eastAsia="锐字云字库小标宋体1.0" w:hAnsi="锐字云字库小标宋体1.0" w:hint="default"/>
        </w:rPr>
        <w:t>管理办法》的通知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exact" w:line="52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有关单位：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为加强全国病媒生物预防控制管理，规范市场竞争秩序，提高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防制服务水平及质量，推动病媒生物持续健康发展，病媒生物预防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控制评价专家组制定了《全国病媒生物预防控制服务机构资质评定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管理办法》，现予印发。                                                                                                                            </w:t>
      </w:r>
    </w:p>
    <w:p>
      <w:pPr>
        <w:pStyle w:val="PO151"/>
        <w:bidi w:val="0"/>
        <w:numPr>
          <w:ilvl w:val="0"/>
          <w:numId w:val="0"/>
        </w:numPr>
        <w:jc w:val="left"/>
        <w:spacing w:lineRule="auto" w:line="360" w:before="9" w:after="0"/>
        <w:pageBreakBefore w:val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资料下载：全国病媒生物预防控制公共服务平台www.cdc-gov.cn</w:t>
      </w:r>
    </w:p>
    <w:p>
      <w:pPr>
        <w:pStyle w:val="PO151"/>
        <w:bidi w:val="0"/>
        <w:numPr>
          <w:ilvl w:val="0"/>
          <w:numId w:val="0"/>
        </w:numPr>
        <w:jc w:val="left"/>
        <w:spacing w:lineRule="auto" w:line="360" w:before="9" w:after="0"/>
        <w:pageBreakBefore w:val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       全国病媒生物预防控制服务机构资质评定管理办法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第一章  总  则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第一条  为加强全国病媒生物预防控制评价管理，规范市场竞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争秩序，提高服务水平及质量，推动病媒生物工作持续健康发展，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特制定本办法。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第二条  本办法适用于组织实施《全国病媒生物预防控制服务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机构资质证书》（以下简称《资质证书》）的评定工作。资质评定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遵循自愿申报、综合评定的原则，坚持评定的科学性、公正性、公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平性和权威性。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第三条  本办法按《全国病媒生物预防控制服务机构资质评定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标准》（以下简称《评定标准》，另行印发）进行评定。《评定标准》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设立A级、B级、C级三个等级。申报单位按《评定标准》要求申报相应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资质等级。凡申报资质评定的单位，必须先符合《评定标准》各类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别等级的必达标条件。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第四条  申请单位申报病媒生物防制服务机构资质等级时原则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上从C级开始，且不得高于B级；取得C级或B级的一年后方可申报A级；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申请单位如原参加过相关机构、协会的等级评定，申报材料时同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时提交原有等级证书复印件，可直接提交上一等级评定申请。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第五条  世界智库（北京）自然科学研究院、山东病媒生物研究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防治中心负责病媒生物防制服务机构资质评定工作的组织、统筹协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调；专家组具体负责病媒生物预防控制能力评价，负责其资质等级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评定工作。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第六条  资质评定工作流程：提交申请→资料上报→资料审核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→现场评审→综合评定→资质发证→证书查询。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第二章  资质申报与资料上报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第七条  资质申报包括初次申请、复审以及晋级。申报《资质证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书》的单位，首先应向中心提出书面申请并填报《全国病媒生物防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制服务机构资质证书申请表》，可按服务类别单项或多项进行申报。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第八条  资料上报。申报《资质证书》的单位应当对照《评定标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准》要求逐项整理资料，在服务平台资质申报系统上按流程填写、上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传资料，资料必须真实有效。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第三章 资质评定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第九条  资料审核。由中心对申报资料进行审核，对申报资料齐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全、符合规定的，予以受理；对申报资料不齐全或者不符合规定的，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在十个工作日内告知其需要补充的内容。对申报资料弄虚作假、不具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备所申报服务类别及其等级必达标条件、违反中心相关管理规定的，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不予受理。资料审核合格的进入现场评审阶段。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第十条  现场评审。由专家和/或指派工作人员按照《评定标准》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内容要求到申报资质评定的单位现场进行逐项评审。现场评审时对某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项资料核对有异议的，限期五个工作日整改完成上报，整改未达标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的则顺延至下一期（次）评定。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第十一条  综合评定和公示。中心组织专家对完成现场评审的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单位是否符合申报资质等级进行综合评定。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第四章  资质发布、发证和复审或晋级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第十二条  资质发布。利用服务平台等形式定期向社会发布资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质等级评定通过的单位名单。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第十三条  资质发证。向通过评定的单位颁发《资质证书》，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《资质证书》分为正本和副本。全国病媒生物预防控制公共服务平台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提供《资质证书》真伪查询。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第十四条  复审或晋级。《资质证书》有效期为四年。取得《资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质证书》的单位，应在其《资质证书》到期前三个月向提出复审或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晋级申报，并按标准要求提交资料。完成复审后，将根据评定结果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为其换发相应等级的《资质证书》。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第十五条  资质变更。若取得《资质证书》的单位名称、办公地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址、法人代表、注册资本等情况有变更的，应在主要信息变更后一个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月内向中心提交《病媒生物防制服务机构资质证变更登记表》，以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及《工商营业执照》副本复印件（加盖单位印章）及其他相关变更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资料等。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变更手续完成后，收回原《资质证书》销毁，换发新的《资质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证书》，并在服务平台公布变更信息。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第十六条  资质注销。取得《资质证书》的单位因故关闭的，私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自转让、违法、违规或逾期使用《资质证书》的，中心有权注销其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《资质证书》。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注销《资质证书》的相关信息将通过服务平台等形式及时向社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会公布。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第五章  资质证书的使用与监督管理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第十七条  《资质证书》按评定的服务类别使用。在《资质证书》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有效期内，取得《资质证书》的单位可在广告、宣传中按有关规定使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用，也可在招标等正当商业活动中使用。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第十八条  任何单位和个人不得伪造、涂改、出租、出借和转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让《资质证书》。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0"/>
        <w:autoSpaceDN w:val="0"/>
      </w:pPr>
    </w:p>
    <w:sectPr>
      <w:type w:val="continuous"/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锐字云字库小标宋体1.0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仿宋" w:eastAsia="仿宋" w:hAnsi="仿宋" w:hint="default"/>
      </w:rPr>
      <w:snapToGrid w:val="off"/>
      <w:autoSpaceDE w:val="0"/>
      <w:autoSpaceDN w:val="0"/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3" type="#_x0000_t202" style="position:absolute;left:0;margin-left:0pt;mso-position-horizontal:center;mso-position-horizontal-relative:margin;margin-top:0pt;mso-position-vertical:absolute;mso-position-vertical-relative:text;width:144.0pt;height:15.6pt;z-index:251624960" stroked="f" filled="f">
          <v:textbox style="mso-fit-shape-to-text:t;" inset="0pt,0pt,0pt,0pt">
            <w:txbxContent>
              <w:p>
                <w:pPr>
                  <w:pStyle w:val="PO152"/>
                  <w:numPr>
                    <w:ilvl w:val="0"/>
                    <w:numId w:val="0"/>
                  </w:numPr>
                  <w:jc w:val="left"/>
                  <w:spacing w:lineRule="auto" w:line="240" w:before="0" w:after="0"/>
                  <w:ind w:right="0" w:firstLine="0"/>
                  <w:tabs>
                    <w:tab w:val="center" w:pos="4153"/>
                    <w:tab w:val="center" w:pos="4153"/>
                    <w:tab w:val="center" w:pos="4153"/>
                    <w:tab w:val="center" w:pos="4153"/>
                    <w:tab w:val="right" w:pos="8306"/>
                    <w:tab w:val="right" w:pos="8306"/>
                    <w:tab w:val="right" w:pos="8306"/>
                    <w:tab w:val="right" w:pos="8306"/>
                  </w:tabs>
                  <w:rPr>
                    <w:color w:val="auto"/>
                    <w:position w:val="0"/>
                    <w:sz w:val="18"/>
                    <w:szCs w:val="18"/>
                    <w:rFonts w:ascii="仿宋" w:eastAsia="仿宋" w:hAnsi="仿宋" w:hint="default"/>
                  </w:rPr>
                  <w:snapToGrid w:val="off"/>
                  <w:autoSpaceDE w:val="0"/>
                  <w:autoSpaceDN w:val="0"/>
                </w:pPr>
                <w:r>
                  <w:rPr>
                    <w:color w:val="auto"/>
                    <w:position w:val="0"/>
                    <w:sz w:val="18"/>
                    <w:szCs w:val="18"/>
                    <w:rFonts w:ascii="仿宋" w:eastAsia="仿宋" w:hAnsi="仿宋" w:hint="default"/>
                  </w:rP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>
                  <w:rPr>
                    <w:color w:val="auto"/>
                    <w:position w:val="0"/>
                    <w:sz w:val="18"/>
                    <w:szCs w:val="18"/>
                    <w:rFonts w:ascii="仿宋" w:eastAsia="仿宋" w:hAnsi="仿宋" w:hint="default"/>
                  </w:rPr>
                  <w:t>4</w:t>
                </w:r>
                <w:r>
                  <w:rPr>
                    <w:color w:val="auto"/>
                    <w:position w:val="0"/>
                    <w:sz w:val="18"/>
                    <w:szCs w:val="18"/>
                    <w:rFonts w:ascii="仿宋" w:eastAsia="仿宋" w:hAnsi="仿宋"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compat w:val="0"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ind w:firstLine="0"/>
      <w:widowControl/>
      <w:wordWrap/>
    </w:pPr>
    <w:rPr>
      <w:rFonts w:ascii="仿宋" w:eastAsia="仿宋" w:hAnsi="仿宋"/>
      <w:shd w:val="clear"/>
      <w:sz w:val="22"/>
      <w:szCs w:val="22"/>
      <w:w w:val="100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Body Text"/>
    <w:basedOn w:val="PO1"/>
    <w:qFormat/>
    <w:uiPriority w:val="151"/>
    <w:rPr>
      <w:rFonts w:ascii="仿宋" w:eastAsia="仿宋" w:hAnsi="仿宋"/>
      <w:shd w:val="clear"/>
      <w:sz w:val="28"/>
      <w:szCs w:val="28"/>
      <w:w w:val="100"/>
    </w:rPr>
  </w:style>
  <w:style w:styleId="PO152" w:type="paragraph">
    <w:name w:val="footer"/>
    <w:basedOn w:val="PO1"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uiPriority w:val="153"/>
    <w:pPr>
      <w:autoSpaceDE w:val="1"/>
      <w:autoSpaceDN w:val="1"/>
      <w:jc w:val="both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table">
    <w:name w:val="Table Normal"/>
    <w:qFormat/>
    <w:uiPriority w:val="154"/>
    <w:semiHidden/>
    <w:unhideWhenUsed/>
    <w:tblPr>
      <w:tblCellMar>
        <w:bottom w:type="dxa" w:w="0"/>
        <w:left w:type="dxa" w:w="0"/>
        <w:right w:type="dxa" w:w="0"/>
        <w:top w:type="dxa" w:w="0"/>
      </w:tblCellMar>
    </w:tblPr>
  </w:style>
  <w:style w:customStyle="1" w:styleId="PO155" w:type="paragraph">
    <w:name w:val="Table Paragraph"/>
    <w:basedOn w:val="PO1"/>
    <w:qFormat/>
    <w:uiPriority w:val="155"/>
    <w:rPr>
      <w:shd w:val="clear"/>
      <w:sz w:val="20"/>
      <w:szCs w:val="20"/>
      <w:w w:val="100"/>
    </w:rPr>
  </w:style>
  <w:style w:customStyle="1" w:styleId="PO156" w:type="character">
    <w:name w:val="font21"/>
    <w:basedOn w:val="PO2"/>
    <w:qFormat/>
    <w:uiPriority w:val="156"/>
    <w:rPr>
      <w:color w:val="000000"/>
      <w:rFonts w:ascii="宋体" w:eastAsia="宋体" w:hAnsi="宋体"/>
      <w:shd w:val="clear"/>
      <w:sz w:val="24"/>
      <w:szCs w:val="24"/>
      <w:u w:val="non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3680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2019-04-24T06:00:35Z</dcterms:modified>
</cp:coreProperties>
</file>